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174</w:t>
      </w:r>
    </w:p>
    <w:p>
      <w:r>
        <w:t>Bundesgericht (BGE), 2002-01-01, FR</w:t>
      </w:r>
    </w:p>
    <w:p>
      <w:r>
        <w:rPr>
          <w:b/>
        </w:rPr>
        <w:t xml:space="preserve">Quelle: </w:t>
      </w:r>
      <w:r>
        <w:t>https://mcp.opencaselaw.ch/entscheid/bge_128 III 174</w:t>
      </w:r>
    </w:p>
    <w:p>
      <w:r>
        <w:t>FR: ATF 128 III 174</w:t>
      </w:r>
    </w:p>
    <w:p>
      <w:r>
        <w:t>IT: DTF 128 III 174</w:t>
      </w:r>
    </w:p>
    <w:p>
      <w:pPr>
        <w:pStyle w:val="Heading2"/>
      </w:pPr>
      <w:r>
        <w:t>Regeste</w:t>
      </w:r>
    </w:p>
    <w:p>
      <w:r>
        <w:t>Regeste Arbeitsvertrag; Provisionsanspruch (Art. 322b Abs. 1 OR). Begriff und ökonomischer Zweck der Provision. Um die Auszahlung der Provision verlangen zu können, muss der Arbeitnehmer, sofern nichts anderes vereinbart wurde, während des Vertragsverhältnisses entweder das konkrete Geschäft vermittelt oder den Dritten als Kunden für Geschäfte dieser Art geworben haben (E. 2).</w:t>
      </w:r>
    </w:p>
    <w:p>
      <w:pPr>
        <w:pStyle w:val="Heading2"/>
      </w:pPr>
      <w:r>
        <w:t>Erwägungen</w:t>
      </w:r>
    </w:p>
    <w:p>
      <w:r>
        <w:rPr>
          <w:b/>
        </w:rPr>
        <w:t>E. 2</w:t>
      </w:r>
    </w:p>
    <w:p>
      <w:r>
        <w:t>a) Procédant à une analyse de la tâche confiée au demandeur, la cour cantonale est parvenue à la conclusion qu'il se trouvait dans une position de subordination qui excluait la qualification de contrat d'agence (cf. art. 418a al. 1 CO ); comme son activité ne se limitait pas à négocier ou conclure des contrats, on ne pouvait parler non plus d'un contrat d'engagement de voyageur de commerce (cf. art. 347 al. 1 CO ); en conséquence, la cour cantonale a retenu BGE 128 III 174 S. 176 que les parties avaient conclu un contrat individuel de travail (cf. art. 319 al. 1 CO ). Cette qualification n'est plus remise en question par les parties et il n'y a pas lieu d'y revenir. b) Selon l'art. 2 du contrat conclu entre les parties, le demandeur avait droit à une commission "sur le montant de chaque contrat signé". Cette clause contractuelle prévoit à l'évidence une provision au sens de l' art. 322b al. 1 CO . D'après cette disposition, s'il est convenu que le travailleur a droit à une provision sur certaines affaires, elle lui est acquise dès que l'affaire a été valablement conclue avec le tiers. Comme la clause contractuelle ne précise pas les conditions du droit à la provision, il convient de se référer à l' art. 322b CO pour compléter la convention des parties. Il faut cependant constater que l' art. 322b CO n'est pas explicite non plus quant à l'activité que le travailleur doit déployer pour avoir droit à la provision. La jurisprudence a eu l'occasion d'observer que la provision, en matière de contrat de travail, était parfois convenue avec des personnes exerçant une tâche de direction, alors qu'il s'agit d'un mode de rémunération usuel pour d'autres contrats ( ATF 90 II 483 consid. 2 p. 486), à savoir le contrat d'engagement des voyageurs de commerce (cf. art. 349a et 349b CO ) et le contrat d'agence (art. 418g à 418l CO). Le salaire du courtier ( art. 413 CO ) est dû dans des conditions analogues. Dans tous ces contrats, le mode de rémunération répond au même but économique: il s'agit de motiver le cocontractant à procurer des affaires, en le récompensant selon les résultats obtenus. On peut donc s'inspirer de la jurisprudence rendue au sujet de ces autres contrats pour déterminer le comportement donnant droit à la provision. Il faut donc, sauf convention contraire, que le travailleur, pendant le rapport contractuel, procure une affaire concrète ou trouve un client disposé à conclure (cf. au sujet du contrat d'agence: ATF 121 III 414 consid. 1a). Il doit exister un rapport de causalité entre l'activité du travailleur et la conclusion du contrat (cf. ATF 84 II 521 consid. 1; ATF 76 II 378 consid. 2; cf. aussi ATF 97 II 355 consid. 4 p. 359; ATF 84 II 542 consid. 5 p. 549). La doctrine qui se penche plus spécifiquement sur le problème du droit à la provision dans le contrat de travail ne s'exprime pas dans un sens différent. La provision est la rémunération que le travailleur BGE 128 III 174 S. 177 reçoit à titre complémentaire au prorata des affaires qu'il a permis de conclure avec des tiers (TERCIER, Les contrats spéciaux, 2e éd., n. 2657). Il doit exister un rapport de causalité entre l'activité du travailleur et la conclusion du contrat (REHBINDER, Commentaire bernois, n. 6 ad art. 322b CO ). Lorsque plusieurs travailleurs ont participé à la négociation d'une même affaire, deux auteurs estiment que le travailleur ne peut prétendre à une provision que s'il a apporté une contribution déterminante (STAEHELIN, Commentaire zurichois, n. 4 ad art. 322b CO ; BRÜHWILER, Kommentar zum Einzelarbeitsvertrag, 2e éd., n. 2 ad art. 322b CO ), tandis qu'un autre se contente d'un rapport de causalité, même concurrent (REHBINDER, ibid.). Quelles que soient les nuances résultant de ces diverses opinions, il en découle clairement que l'activité du travailleur doit apparaître, sauf convention contraire, comme une cause de la conclusion du contrat. En l'absence de toute clause contractuelle fixant d'autres règles, on ne peut en effet pas imaginer que l'employeur se soit engagé à verser une provision sur toute affaire conclue, même si celle-ci n'a pas été procurée par l'activité du travailleur. Une interprétation contraire reviendrait à ignorer le but économique de la provision, qui est de motiver le travailleur et de l'intéresser au résultat de son travail (cf. REHBINDER, op. cit., n. 1 ad art. 322b CO ; DUC/SUBILIA, Commentaire du contrat individuel de travail, n. 2 ad art. 322b et c CO). Il y a causalité naturelle lorsqu'un comportement est une condition sine qua non d'un résultat ( ATF 121 IV 207 consid. 2a p. 212; ATF 116 IV 306 consid. 2a). Le constat de la causalité naturelle relève du fait et lie le Tribunal fédéral saisi d'un recours en réforme ( ATF 127 III 453 consid. 5d; ATF 123 III 110 consid. 2). Le raisonnement doit être mené sur la base des faits contenus dans la décision attaquée ( art. 63 al. 2 OJ ), et non pas de ceux allégués par le recourant ( ATF 127 III 248 consid. 2c p. 252). c) En l'espèce, il ne ressort pas des constatations cantonales que le demandeur aurait mis en contact son employeur avec la compagnie d'assurances. Il a été retenu que les négociations avaient commencé d'emblée avec trois employés de la défenderesse agissant ensemble. Il n'a pas été établi que le demandeur ait joué un rôle particulier dont on puisse inférer qu'il a exercé une influence psychologique sur la décision de contracter. Pendant une longue partie des négociations, la compagnie d'assurances a testé les services que la défenderesse pouvait lui apporter; il a été retenu que le demandeur BGE 128 III 174 S. 178 n'avait pas participé à cette phase "technique" de la négociation. Il avait quitté l'entreprise avant que les pourparlers sur le prix ne commencent. Selon les constatations cantonales, le demandeur a quitté l'entreprise plus d'un an avant la conclusion du contrat, à un moment où l'issue des négociations était incertaine. Sur la base de cet état de fait, on ne parvient pas à discerner pourquoi la participation du demandeur aurait été indispensable à la conclusion du contrat. La cour cantonale a noté que la compagnie d'assurances connaissait également le président de la défenderesse et on ne voit pas en quoi la présence du demandeur, aux côtés d'autres employés, lors de la première phase des opérations pourrait être considérée comme une condition sine qua non de la conclusion du contrat. Le demandeur n'étant pas parvenu à prouver les circonstances de fait qui pourraient fonder son droit à la provision (cf. art. 8 CC ), la Cour d'appel a rejeté sa prétention sans violer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